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39" w:lineRule="atLeast"/>
        <w:ind w:left="495" w:right="780" w:firstLine="0"/>
        <w:jc w:val="center"/>
        <w:textAlignment w:val="auto"/>
        <w:rPr>
          <w:rFonts w:hint="eastAsia" w:asciiTheme="majorEastAsia" w:hAnsiTheme="majorEastAsia" w:eastAsiaTheme="majorEastAsia" w:cstheme="minorBidi"/>
          <w:kern w:val="2"/>
          <w:sz w:val="36"/>
          <w:szCs w:val="36"/>
          <w:lang w:val="en-US" w:eastAsia="zh-CN" w:bidi="ar-SA"/>
        </w:rPr>
      </w:pPr>
      <w:r>
        <w:rPr>
          <w:rFonts w:hint="eastAsia" w:asciiTheme="majorEastAsia" w:hAnsiTheme="majorEastAsia" w:eastAsiaTheme="majorEastAsia" w:cstheme="minorBidi"/>
          <w:kern w:val="2"/>
          <w:sz w:val="36"/>
          <w:szCs w:val="36"/>
          <w:lang w:val="en-US" w:eastAsia="zh-CN" w:bidi="ar-SA"/>
        </w:rPr>
        <w:t>江西汇仁药业股份有限公司招聘简章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right="0" w:rightChars="0"/>
        <w:jc w:val="left"/>
        <w:textAlignment w:val="auto"/>
        <w:outlineLvl w:val="9"/>
        <w:rPr>
          <w:rFonts w:hint="eastAsia" w:ascii="仿宋" w:hAnsi="仿宋" w:eastAsia="仿宋" w:cstheme="minorBidi"/>
          <w:kern w:val="2"/>
          <w:sz w:val="28"/>
          <w:szCs w:val="28"/>
          <w:lang w:val="en-US" w:eastAsia="zh-CN" w:bidi="ar-S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0" w:afterAutospacing="0" w:line="240" w:lineRule="auto"/>
        <w:ind w:right="0" w:rightChars="0" w:firstLine="560" w:firstLineChars="200"/>
        <w:jc w:val="left"/>
        <w:textAlignment w:val="auto"/>
        <w:outlineLvl w:val="9"/>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一、</w:t>
      </w:r>
      <w:r>
        <w:rPr>
          <w:rFonts w:hint="default" w:ascii="仿宋" w:hAnsi="仿宋" w:eastAsia="仿宋" w:cstheme="minorBidi"/>
          <w:kern w:val="2"/>
          <w:sz w:val="28"/>
          <w:szCs w:val="28"/>
          <w:lang w:val="en-US" w:eastAsia="zh-CN" w:bidi="ar-SA"/>
        </w:rPr>
        <w:t>公司介绍</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江西汇仁药业股份有限公司，创建于1992年，并于1994年正式投产，总部位于国家级经济开发区小蓝工业园区，是一家专注于研发、生产、销售高档调理滋补品类中成药的大型医药企业。</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公司拥有包括肾宝片、女金胶囊、肝肾安颗粒、六味地黄丸、解毒痤疮丸、理气暖胃颗粒等六类以上中药新药品种在内的100多个产品。其中，肾宝片属于国家“863”计划成果和国家二级中药保护品种。汇仁已形成补益类、妇科儿科类、消化系统类中成药等10多个系列，9个剂型100多个规格的产品群。</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上海张江高科技园区建设国家级企业研发中心，中心拥有向全国开放的大规模中试平台和一大批先进的仪器设备设施。研发中心建立了博士后工作站，先后引进了博士生导师、博士后、博士等二十多位高层次医药科研人才。目前公司共取得药品批准文号119个，拥有独家品种11个、新药品种14个，入选《国家医保目录》的品种69个。公司已取得有效专利102件，其中发明专利78件，肾宝片和女金胶囊均拥有中国发明专利和外观设计专利。</w:t>
      </w:r>
    </w:p>
    <w:p>
      <w:pPr>
        <w:keepNext w:val="0"/>
        <w:keepLines w:val="0"/>
        <w:pageBreakBefore w:val="0"/>
        <w:widowControl w:val="0"/>
        <w:kinsoku/>
        <w:wordWrap/>
        <w:overflowPunct/>
        <w:topLinePunct w:val="0"/>
        <w:autoSpaceDE/>
        <w:autoSpaceDN/>
        <w:bidi w:val="0"/>
        <w:adjustRightInd/>
        <w:snapToGrid/>
        <w:spacing w:afterAutospacing="0"/>
        <w:ind w:firstLine="560" w:firstLineChars="200"/>
        <w:jc w:val="left"/>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汇仁一直秉承“道地、道法、道德、做精品，爱岗、爱业、爱人、汇仁心” 的质量方针， 以“成为中国制药行业高品质典范，成为可信赖的健康产品智造者”为目标强化质量管理，精选道地优质药材、采用传统炮制工艺、利用现代化智能技术、发扬工匠精神，致力于为消费者提供安全、有效、高品质的产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二、管培生项目介绍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汇仁药业管培生“汇星计划”是江西汇仁药业股份有限公司为满足公司的大健康布局和丰富的产品线拓展对所需管理人才的一个引才计划，旨在从各院校高标准选拔一批具有发展潜质的优秀应届毕业生，提供高起点的薪酬待遇和快速发展通道，通过系统化的培养及发展体系，助力大家快速成长，3-5年定位成为公司未来发展的中层管理者/高级专业关键人才。</w:t>
      </w: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360" w:lineRule="atLeas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三、需求人数</w:t>
      </w:r>
    </w:p>
    <w:tbl>
      <w:tblPr>
        <w:tblW w:w="857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84"/>
        <w:gridCol w:w="3628"/>
        <w:gridCol w:w="1524"/>
        <w:gridCol w:w="778"/>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1539" w:type="dxa"/>
            <w:tcBorders>
              <w:top w:val="nil"/>
              <w:left w:val="nil"/>
              <w:bottom w:val="nil"/>
              <w:right w:val="nil"/>
            </w:tcBorders>
            <w:shd w:val="clear" w:color="auto" w:fill="4F81BD"/>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Style w:val="7"/>
                <w:rFonts w:hint="eastAsia" w:ascii="楷体" w:hAnsi="楷体" w:eastAsia="楷体" w:cs="楷体"/>
                <w:spacing w:val="0"/>
                <w:sz w:val="24"/>
                <w:szCs w:val="24"/>
                <w:bdr w:val="none" w:color="auto" w:sz="0" w:space="0"/>
              </w:rPr>
              <w:t>招聘岗位</w:t>
            </w:r>
          </w:p>
        </w:tc>
        <w:tc>
          <w:tcPr>
            <w:tcW w:w="3598" w:type="dxa"/>
            <w:tcBorders>
              <w:top w:val="nil"/>
              <w:left w:val="nil"/>
              <w:bottom w:val="nil"/>
              <w:right w:val="nil"/>
            </w:tcBorders>
            <w:shd w:val="clear" w:color="auto" w:fill="4F81BD"/>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Style w:val="7"/>
                <w:rFonts w:hint="eastAsia" w:ascii="楷体" w:hAnsi="楷体" w:eastAsia="楷体" w:cs="楷体"/>
                <w:spacing w:val="0"/>
                <w:sz w:val="24"/>
                <w:szCs w:val="24"/>
                <w:bdr w:val="none" w:color="auto" w:sz="0" w:space="0"/>
              </w:rPr>
              <w:t>专业</w:t>
            </w:r>
          </w:p>
        </w:tc>
        <w:tc>
          <w:tcPr>
            <w:tcW w:w="1494" w:type="dxa"/>
            <w:tcBorders>
              <w:top w:val="nil"/>
              <w:left w:val="nil"/>
              <w:bottom w:val="nil"/>
              <w:right w:val="nil"/>
            </w:tcBorders>
            <w:shd w:val="clear" w:color="auto" w:fill="4F81BD"/>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Style w:val="7"/>
                <w:rFonts w:hint="eastAsia" w:ascii="楷体" w:hAnsi="楷体" w:eastAsia="楷体" w:cs="楷体"/>
                <w:spacing w:val="0"/>
                <w:sz w:val="24"/>
                <w:szCs w:val="24"/>
                <w:bdr w:val="none" w:color="auto" w:sz="0" w:space="0"/>
              </w:rPr>
              <w:t>学历要求</w:t>
            </w:r>
          </w:p>
        </w:tc>
        <w:tc>
          <w:tcPr>
            <w:tcW w:w="748" w:type="dxa"/>
            <w:tcBorders>
              <w:top w:val="nil"/>
              <w:left w:val="nil"/>
              <w:bottom w:val="nil"/>
              <w:right w:val="nil"/>
            </w:tcBorders>
            <w:shd w:val="clear" w:color="auto" w:fill="4F81BD"/>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Style w:val="7"/>
                <w:rFonts w:hint="eastAsia" w:ascii="楷体" w:hAnsi="楷体" w:eastAsia="楷体" w:cs="楷体"/>
                <w:spacing w:val="0"/>
                <w:sz w:val="24"/>
                <w:szCs w:val="24"/>
                <w:bdr w:val="none" w:color="auto" w:sz="0" w:space="0"/>
              </w:rPr>
              <w:t>工作</w:t>
            </w:r>
          </w:p>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Style w:val="7"/>
                <w:rFonts w:hint="eastAsia" w:ascii="楷体" w:hAnsi="楷体" w:eastAsia="楷体" w:cs="楷体"/>
                <w:spacing w:val="0"/>
                <w:sz w:val="24"/>
                <w:szCs w:val="24"/>
                <w:bdr w:val="none" w:color="auto" w:sz="0" w:space="0"/>
              </w:rPr>
              <w:t>地点</w:t>
            </w:r>
          </w:p>
        </w:tc>
        <w:tc>
          <w:tcPr>
            <w:tcW w:w="1017" w:type="dxa"/>
            <w:tcBorders>
              <w:top w:val="nil"/>
              <w:left w:val="nil"/>
              <w:bottom w:val="nil"/>
              <w:right w:val="nil"/>
            </w:tcBorders>
            <w:shd w:val="clear" w:color="auto" w:fill="4F81BD"/>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Style w:val="7"/>
                <w:rFonts w:hint="eastAsia" w:ascii="楷体" w:hAnsi="楷体" w:eastAsia="楷体" w:cs="楷体"/>
                <w:spacing w:val="0"/>
                <w:sz w:val="24"/>
                <w:szCs w:val="24"/>
                <w:bdr w:val="none" w:color="auto" w:sz="0" w:space="0"/>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153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市场</w:t>
            </w:r>
          </w:p>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管理培训生</w:t>
            </w:r>
          </w:p>
        </w:tc>
        <w:tc>
          <w:tcPr>
            <w:tcW w:w="359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中医学、广告学、新闻学等专业</w:t>
            </w:r>
          </w:p>
        </w:tc>
        <w:tc>
          <w:tcPr>
            <w:tcW w:w="149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本科及以上</w:t>
            </w:r>
          </w:p>
        </w:tc>
        <w:tc>
          <w:tcPr>
            <w:tcW w:w="74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江西南昌</w:t>
            </w:r>
          </w:p>
        </w:tc>
        <w:tc>
          <w:tcPr>
            <w:tcW w:w="101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153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销售</w:t>
            </w:r>
          </w:p>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管理培训生</w:t>
            </w:r>
          </w:p>
        </w:tc>
        <w:tc>
          <w:tcPr>
            <w:tcW w:w="359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市场营销、工商管理、电子商务、医药类专业</w:t>
            </w:r>
          </w:p>
        </w:tc>
        <w:tc>
          <w:tcPr>
            <w:tcW w:w="149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本科及以上</w:t>
            </w:r>
          </w:p>
        </w:tc>
        <w:tc>
          <w:tcPr>
            <w:tcW w:w="74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全国</w:t>
            </w:r>
          </w:p>
        </w:tc>
        <w:tc>
          <w:tcPr>
            <w:tcW w:w="101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153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制造/质量</w:t>
            </w:r>
          </w:p>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管理培训生</w:t>
            </w:r>
          </w:p>
        </w:tc>
        <w:tc>
          <w:tcPr>
            <w:tcW w:w="359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药学、中药学、制药工程等专业</w:t>
            </w:r>
          </w:p>
        </w:tc>
        <w:tc>
          <w:tcPr>
            <w:tcW w:w="149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本科及以上</w:t>
            </w:r>
          </w:p>
        </w:tc>
        <w:tc>
          <w:tcPr>
            <w:tcW w:w="74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江西南昌</w:t>
            </w:r>
          </w:p>
        </w:tc>
        <w:tc>
          <w:tcPr>
            <w:tcW w:w="101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30" w:hRule="atLeast"/>
          <w:tblCellSpacing w:w="15" w:type="dxa"/>
        </w:trPr>
        <w:tc>
          <w:tcPr>
            <w:tcW w:w="1539"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职能</w:t>
            </w:r>
          </w:p>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管理培训生</w:t>
            </w:r>
          </w:p>
        </w:tc>
        <w:tc>
          <w:tcPr>
            <w:tcW w:w="359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人力资源类、管理类、财会类等专业</w:t>
            </w:r>
          </w:p>
        </w:tc>
        <w:tc>
          <w:tcPr>
            <w:tcW w:w="1494"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本科及以上</w:t>
            </w:r>
          </w:p>
        </w:tc>
        <w:tc>
          <w:tcPr>
            <w:tcW w:w="748"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江西南昌</w:t>
            </w:r>
          </w:p>
        </w:tc>
        <w:tc>
          <w:tcPr>
            <w:tcW w:w="1017"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3</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仿宋" w:hAnsi="仿宋" w:eastAsia="仿宋" w:cstheme="minorBidi"/>
          <w:kern w:val="2"/>
          <w:sz w:val="28"/>
          <w:szCs w:val="28"/>
          <w:lang w:val="en-US" w:eastAsia="zh-CN" w:bidi="ar-SA"/>
        </w:rPr>
      </w:pPr>
    </w:p>
    <w:p>
      <w:pPr>
        <w:pStyle w:val="4"/>
        <w:keepNext w:val="0"/>
        <w:keepLines w:val="0"/>
        <w:pageBreakBefore w:val="0"/>
        <w:widowControl w:val="0"/>
        <w:suppressLineNumbers w:val="0"/>
        <w:shd w:val="clear" w:fill="FFFFFF"/>
        <w:kinsoku/>
        <w:wordWrap/>
        <w:overflowPunct/>
        <w:topLinePunct w:val="0"/>
        <w:autoSpaceDE/>
        <w:autoSpaceDN/>
        <w:bidi w:val="0"/>
        <w:adjustRightInd/>
        <w:snapToGrid/>
        <w:spacing w:before="120" w:beforeAutospacing="0" w:after="120" w:afterAutospacing="0" w:line="360" w:lineRule="atLeast"/>
        <w:ind w:left="0" w:right="0" w:firstLine="560" w:firstLineChars="20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四、薪酬福利</w:t>
      </w:r>
      <w:bookmarkStart w:id="0" w:name="_GoBack"/>
      <w:bookmarkEnd w:id="0"/>
    </w:p>
    <w:tbl>
      <w:tblPr>
        <w:tblW w:w="844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27"/>
        <w:gridCol w:w="6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blCellSpacing w:w="15" w:type="dxa"/>
        </w:trPr>
        <w:tc>
          <w:tcPr>
            <w:tcW w:w="1982" w:type="dxa"/>
            <w:tcBorders>
              <w:top w:val="nil"/>
              <w:left w:val="nil"/>
              <w:bottom w:val="nil"/>
              <w:right w:val="nil"/>
            </w:tcBorders>
            <w:shd w:val="clear" w:color="auto" w:fill="4F81BD"/>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Fonts w:hint="eastAsia" w:ascii="楷体" w:hAnsi="楷体" w:eastAsia="楷体" w:cs="楷体"/>
                <w:spacing w:val="0"/>
                <w:sz w:val="24"/>
                <w:szCs w:val="24"/>
                <w:bdr w:val="none" w:color="auto" w:sz="0" w:space="0"/>
              </w:rPr>
              <w:t>起薪标准</w:t>
            </w:r>
          </w:p>
        </w:tc>
        <w:tc>
          <w:tcPr>
            <w:tcW w:w="6373" w:type="dxa"/>
            <w:tcBorders>
              <w:top w:val="nil"/>
              <w:left w:val="nil"/>
              <w:bottom w:val="nil"/>
              <w:right w:val="nil"/>
            </w:tcBorders>
            <w:shd w:val="clear" w:color="auto" w:fill="4F81BD"/>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Style w:val="7"/>
                <w:rFonts w:hint="eastAsia" w:ascii="楷体" w:hAnsi="楷体" w:eastAsia="楷体" w:cs="楷体"/>
                <w:spacing w:val="0"/>
                <w:sz w:val="24"/>
                <w:szCs w:val="24"/>
                <w:bdr w:val="none" w:color="auto" w:sz="0" w:space="0"/>
              </w:rPr>
              <w:t>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070" w:hRule="atLeast"/>
          <w:tblCellSpacing w:w="15" w:type="dxa"/>
        </w:trPr>
        <w:tc>
          <w:tcPr>
            <w:tcW w:w="1982"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jc w:val="center"/>
              <w:textAlignment w:val="auto"/>
            </w:pPr>
            <w:r>
              <w:rPr>
                <w:rStyle w:val="7"/>
                <w:rFonts w:hint="eastAsia" w:ascii="楷体" w:hAnsi="楷体" w:eastAsia="楷体" w:cs="楷体"/>
                <w:color w:val="FF0000"/>
                <w:spacing w:val="0"/>
                <w:sz w:val="24"/>
                <w:szCs w:val="24"/>
                <w:bdr w:val="none" w:color="auto" w:sz="0" w:space="0"/>
              </w:rPr>
              <w:t>10万/年</w:t>
            </w:r>
          </w:p>
        </w:tc>
        <w:tc>
          <w:tcPr>
            <w:tcW w:w="6373"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pageBreakBefore w:val="0"/>
              <w:widowControl w:val="0"/>
              <w:suppressLineNumbers w:val="0"/>
              <w:kinsoku/>
              <w:wordWrap/>
              <w:overflowPunct/>
              <w:topLinePunct w:val="0"/>
              <w:autoSpaceDE/>
              <w:autoSpaceDN/>
              <w:bidi w:val="0"/>
              <w:adjustRightInd/>
              <w:snapToGrid/>
              <w:ind w:left="285"/>
              <w:textAlignment w:val="auto"/>
            </w:pPr>
            <w:r>
              <w:rPr>
                <w:rFonts w:hint="eastAsia" w:ascii="楷体" w:hAnsi="楷体" w:eastAsia="楷体" w:cs="楷体"/>
                <w:spacing w:val="0"/>
                <w:sz w:val="24"/>
                <w:szCs w:val="24"/>
              </w:rPr>
              <w:t>l法定福利：五险一金、三节福利、法定假期；</w:t>
            </w:r>
          </w:p>
          <w:p>
            <w:pPr>
              <w:pStyle w:val="4"/>
              <w:keepNext w:val="0"/>
              <w:keepLines w:val="0"/>
              <w:pageBreakBefore w:val="0"/>
              <w:widowControl w:val="0"/>
              <w:suppressLineNumbers w:val="0"/>
              <w:kinsoku/>
              <w:wordWrap/>
              <w:overflowPunct/>
              <w:topLinePunct w:val="0"/>
              <w:autoSpaceDE/>
              <w:autoSpaceDN/>
              <w:bidi w:val="0"/>
              <w:adjustRightInd/>
              <w:snapToGrid/>
              <w:ind w:left="285"/>
              <w:textAlignment w:val="auto"/>
            </w:pPr>
            <w:r>
              <w:rPr>
                <w:rFonts w:hint="eastAsia" w:ascii="楷体" w:hAnsi="楷体" w:eastAsia="楷体" w:cs="楷体"/>
                <w:spacing w:val="0"/>
                <w:sz w:val="24"/>
                <w:szCs w:val="24"/>
              </w:rPr>
              <w:t>l生活福利：生日福利、公司宿舍、福利食堂等；</w:t>
            </w:r>
          </w:p>
          <w:p>
            <w:pPr>
              <w:pStyle w:val="4"/>
              <w:keepNext w:val="0"/>
              <w:keepLines w:val="0"/>
              <w:pageBreakBefore w:val="0"/>
              <w:widowControl w:val="0"/>
              <w:suppressLineNumbers w:val="0"/>
              <w:kinsoku/>
              <w:wordWrap/>
              <w:overflowPunct/>
              <w:topLinePunct w:val="0"/>
              <w:autoSpaceDE/>
              <w:autoSpaceDN/>
              <w:bidi w:val="0"/>
              <w:adjustRightInd/>
              <w:snapToGrid/>
              <w:ind w:left="285"/>
              <w:textAlignment w:val="auto"/>
            </w:pPr>
            <w:r>
              <w:rPr>
                <w:rFonts w:hint="eastAsia" w:ascii="楷体" w:hAnsi="楷体" w:eastAsia="楷体" w:cs="楷体"/>
                <w:spacing w:val="0"/>
                <w:sz w:val="24"/>
                <w:szCs w:val="24"/>
              </w:rPr>
              <w:t>l丰富培训：多样化的培训、学习体系，多序列的员工职业发展体系等为你的成长保驾护航；</w:t>
            </w:r>
          </w:p>
          <w:p>
            <w:pPr>
              <w:pStyle w:val="4"/>
              <w:keepNext w:val="0"/>
              <w:keepLines w:val="0"/>
              <w:pageBreakBefore w:val="0"/>
              <w:widowControl w:val="0"/>
              <w:suppressLineNumbers w:val="0"/>
              <w:kinsoku/>
              <w:wordWrap/>
              <w:overflowPunct/>
              <w:topLinePunct w:val="0"/>
              <w:autoSpaceDE/>
              <w:autoSpaceDN/>
              <w:bidi w:val="0"/>
              <w:adjustRightInd/>
              <w:snapToGrid/>
              <w:ind w:left="285"/>
              <w:textAlignment w:val="auto"/>
            </w:pPr>
            <w:r>
              <w:rPr>
                <w:rFonts w:hint="eastAsia" w:ascii="楷体" w:hAnsi="楷体" w:eastAsia="楷体" w:cs="楷体"/>
                <w:spacing w:val="0"/>
                <w:sz w:val="24"/>
                <w:szCs w:val="24"/>
              </w:rPr>
              <w:t>l多彩生活：公司配有员工篮球场、网球场、羽毛球场、百草园景观等，每年都会组织趣味运动会；</w:t>
            </w:r>
          </w:p>
          <w:p>
            <w:pPr>
              <w:pStyle w:val="4"/>
              <w:keepNext w:val="0"/>
              <w:keepLines w:val="0"/>
              <w:pageBreakBefore w:val="0"/>
              <w:widowControl w:val="0"/>
              <w:suppressLineNumbers w:val="0"/>
              <w:kinsoku/>
              <w:wordWrap/>
              <w:overflowPunct/>
              <w:topLinePunct w:val="0"/>
              <w:autoSpaceDE/>
              <w:autoSpaceDN/>
              <w:bidi w:val="0"/>
              <w:adjustRightInd/>
              <w:snapToGrid/>
              <w:ind w:left="285"/>
              <w:textAlignment w:val="auto"/>
            </w:pPr>
            <w:r>
              <w:rPr>
                <w:rFonts w:hint="eastAsia" w:ascii="楷体" w:hAnsi="楷体" w:eastAsia="楷体" w:cs="楷体"/>
                <w:spacing w:val="0"/>
                <w:sz w:val="24"/>
                <w:szCs w:val="24"/>
              </w:rPr>
              <w:t>l落户福利：连续三年可申请政府发放的青年人才生活补贴（硕士1000元/月、本科500元/月）。</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left"/>
        <w:textAlignment w:val="auto"/>
        <w:outlineLvl w:val="9"/>
        <w:rPr>
          <w:rFonts w:hint="eastAsia" w:ascii="仿宋" w:hAnsi="仿宋" w:eastAsia="仿宋" w:cstheme="minorBidi"/>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五、选拔标准</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1.本科及以上学历。</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2.性格活泼，积极向上，敢于挑战。</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3.具有强烈的责任心和事业进取心。</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4.有担任学生会、班级等干部经历者优先。</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六、校招流程</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1.简历投递：按格式投递简历至指定邮箱：姓名-学校-专业-意向岗位。</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2.空中宣讲会：通过线上或线下的方式对企业信息及招聘岗位进行详细介绍。</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3.面试流程：包含初试、复试和终试，我们将以邮件/短信/电话形式通知线上面试及相关安排。</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4.在线测评：初面后，我们将统一发送测评链接邀请初面通过者参加在线测评。</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5.offer发放：成功通过面试的候选人，我们将终面后7日内以邮件形式发放offer，并签订三方协议。</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七、联系方式</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1.联系人：人力资源部 黄先生 0791-85762272 </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2.简历投递邮箱：xyzp@huiren.cn（邮件格式：应聘岗位+毕业院校+专业+姓名）</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3.公司地址：江西南昌市南昌县汇仁大道1266号</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4.官网网址：www.huiren.cn</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 </w:t>
      </w:r>
    </w:p>
    <w:p>
      <w:pPr>
        <w:keepNext w:val="0"/>
        <w:keepLines w:val="0"/>
        <w:pageBreakBefore w:val="0"/>
        <w:widowControl w:val="0"/>
        <w:kinsoku/>
        <w:wordWrap/>
        <w:overflowPunct/>
        <w:topLinePunct w:val="0"/>
        <w:autoSpaceDE/>
        <w:autoSpaceDN/>
        <w:bidi w:val="0"/>
        <w:adjustRightInd/>
        <w:snapToGrid/>
        <w:spacing w:afterAutospacing="0"/>
        <w:ind w:left="559" w:leftChars="266" w:firstLine="0" w:firstLineChars="0"/>
        <w:textAlignment w:val="auto"/>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                      </w:t>
      </w: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00" w:lineRule="exact"/>
        <w:textAlignment w:val="auto"/>
        <w:rPr>
          <w:rFonts w:ascii="仿宋" w:hAnsi="仿宋" w:eastAsia="仿宋" w:cs="Times New Roman"/>
          <w:sz w:val="28"/>
          <w:szCs w:val="28"/>
        </w:rPr>
      </w:pPr>
      <w:r>
        <w:rPr>
          <w:rFonts w:hint="eastAsia" w:ascii="宋体" w:hAnsi="宋体" w:eastAsia="宋体" w:cs="Times New Roman"/>
          <w:b/>
          <w:bCs/>
          <w:color w:val="FF0000"/>
          <w:sz w:val="24"/>
          <w:szCs w:val="24"/>
        </w:rPr>
        <w:t>温馨提示：在应聘过程中，请同学们提高警惕，加强防范意识，谨防求职陷阱。</w:t>
      </w:r>
    </w:p>
    <w:p>
      <w:pPr>
        <w:keepNext w:val="0"/>
        <w:keepLines w:val="0"/>
        <w:pageBreakBefore w:val="0"/>
        <w:widowControl w:val="0"/>
        <w:kinsoku/>
        <w:wordWrap/>
        <w:overflowPunct/>
        <w:topLinePunct w:val="0"/>
        <w:autoSpaceDE/>
        <w:autoSpaceDN/>
        <w:bidi w:val="0"/>
        <w:adjustRightInd/>
        <w:snapToGrid/>
        <w:spacing w:afterAutospacing="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94BC2"/>
    <w:rsid w:val="0A010012"/>
    <w:rsid w:val="0C633D21"/>
    <w:rsid w:val="1E0D273C"/>
    <w:rsid w:val="21C54521"/>
    <w:rsid w:val="2E946F3D"/>
    <w:rsid w:val="341910D0"/>
    <w:rsid w:val="354B2130"/>
    <w:rsid w:val="35583C6F"/>
    <w:rsid w:val="41845B50"/>
    <w:rsid w:val="44F94BC2"/>
    <w:rsid w:val="48134C35"/>
    <w:rsid w:val="5B406043"/>
    <w:rsid w:val="6310225E"/>
    <w:rsid w:val="65FC04ED"/>
    <w:rsid w:val="6B6928EF"/>
    <w:rsid w:val="708A2926"/>
    <w:rsid w:val="70A01E6D"/>
    <w:rsid w:val="745D0151"/>
    <w:rsid w:val="7803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2021-03-30T08:55:00Z</dcterms:created>
  <dc:creator>Administrator</dc:creator>
  <cp:lastModifiedBy>Administrator</cp:lastModifiedBy>
  <dcterms:modified xsi:type="dcterms:W3CDTF">2021-04-13T02:32:36Z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